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Промежуточная Резолюция CM/ResDH(2011)292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Исполнение постановлений Европейского Суда по правам человека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по 154 делам против Российской Федерации относительно действий сил безопасности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в Чеченской Республике Российской Федерации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 (см. список дел в группе Хашиева в Приложении)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4"/>
          <w:vertAlign w:val="baseline"/>
          <w:rtl w:val="0"/>
        </w:rPr>
        <w:t xml:space="preserve"> (Принята Комитетом Министров 2 декабря 2011 года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4"/>
          <w:vertAlign w:val="baseline"/>
          <w:rtl w:val="0"/>
        </w:rPr>
        <w:t xml:space="preserve">На 1128ой сессии)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Комитет Министров,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Комитет Министров, в соответствии с частью 2 статьи 46 Конвенции о защите прав человека и основных свобод (далее – "Конвенция");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 учетом 154 постановлений Европейского Суда по правам человека ("Суд"), в которых он признал серьезные нарушения Конвенции в результате и/или в связи с действиями сил безопасности в ходе контртеррористических операций, проводимых в Чеченской Республике Российской Федерации в основном с 1999 по 2004 год, касавшимися убийств, непризнанного лишения свободы, исчезновений, пыток, разрушения имущества, отсутствия эффективного расследования и эффективных средств правовой защиты от этих нарушений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Напоминая, что с 2005 года, когда Суд вынес первые постановления по делам из этой группы, Комитет последовательно подчеркивает, что исполнение этих постановлений требует принятия комплекса мер, направленных, в частности, на: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- улучшение нормативно-правового регулирования действий сил безопасности по противодействию терроризму, включая применения силы и существования гарантий от жесткого обращения и исчезновений;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- обеспечение фактического привлечения сотрудников сил безопасности к ответственности за нарушения, совершенные в ходе контртеррористических операций, включая эффективность расследования на национальном уровне;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- развитие внутригосударственных средств правовой защиты для жертв таких нарушений, в том числе компенсации;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- усиление информирования и обучения сотрудников сил безопасности;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Напоминая, что в настоящее время Комитет сосредоточил свое внимание в первую очередь на оценке эффективности расследований на национальном уровне, так как этот вопрос тесно связан с индивидуальными мерами, а именно, на: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- нормативно-правовой базе расследований на национальном уровне, проводимых по делам, по которым Суд вынес постановления, или по которым в Суд были поданы жалобы;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- правах потерпевших в ходе досудебной стадии уголовного процесса;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- доступных потерпевшим средствах правовой защиты для обжалования неэффективности расследований на национальном уровне;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Оценив большой объем информации, касающейся мер, предпринятых или планируемых в связи с вынесением Судом постановлений, которая была предоставленна российскими властями и изложена в различных публично-доступных меморандумах</w:t>
      </w:r>
      <w:hyperlink r:id="rId5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1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, а также информацию, недавно предоставленную российскими властями в Комитет</w:t>
      </w:r>
      <w:hyperlink r:id="rId6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2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, и учитывая встречи, проведенные с Секретариатом, судьями, прокурорами, следователями, а также с потерпевшими и их представителями в ходе посещения Чеченской Республики в июне 2011;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Полагая, в свете вышеизложенного, что достигнутые результаты и еще не разрешенные вопросы должны быть изложены в настоящей Промежуточной Резолюции.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1. Нормативно-правовая база расследований на национальном уровне, проводимых по делам, по которым Суд вынес постановления, или по которым в Суд были поданы жалобы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Учитывая важные изменения нормативно-правовой базы расследований на национальном уровне, произошедшие после событий, описанных в постановлениях Суда, и касающиеся, в частности, расследований проводимых по делам, по которым Суд вынес постановления, или по которым в Суд были поданы жалобы;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Отмечая, что при разработке надлежащего правового регулирования деятельности прокуроров и следователей необходимое внимание было уделено требованиям Конвенции и постановлений Суда;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Признавая, что нарушения, обнаруженные в этих постановлениях, имели место в сложном контексте борьбы с терроризмом, а также, что при расследовании событий прошлого возникают практические трудности, которые неминуемо ограничивают возможности, находящиеся в распоряжении следователей;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 интересом отмечая сообщения российских властей об усилиях, направленных на  исправление недостатков первоначальных расследований, на установление фактов и личностей виновных, включая военнослужащих и других представителей федеральных сил, которые могли быть причастны к событиям, описанным в постановлениях;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Также отмечая, что в результате этих усилий в ряде дел были установлены конкретные военнослужащие, один из виновных по делу Садыкова был задержан;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 обеспокоенностью отмечая, однако, что, несмотря на усилия Следственного комитета и других компетентных органов, за более чем шесть лет после вынесения Судом первых постановлений по большинству дел не удалось достигнуть значимых результатов и установить и привлечь к ответственности виновных, даже по тем делам, по которым в ходе следствия на национальном уровне основные элементы, в том числе доказательства, подтверждающие участие в событиях конкретных военнослужащих или военных частей,  были установлены с достаточной степенью точности</w:t>
      </w:r>
      <w:hyperlink r:id="rId7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3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 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В связи с этим, подчеркивая необходимость обеспечить, чтобы следственные органы полноценно и эффективно использовали доступные им средства и полномочия, а также необходимость подумать на тем, требуются ли какие-либо дополнительные меры, принимая во внимание сложности, свойственные расследованию последствий таких широкомасштабных контртеррористических операций, как та, о которой идет речь;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Кроме того, подчеркивая, что необходимые действия в этом отношении должны быть предприняты в приоритетном порядке, так как с течением времени усиливается риск утраты доказательств, даже если они изначально были обнаружены, а привлечение виновных к ответственности может стать невозможным в связи с истечением сроков давности;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2. Розыск исчезнувших лиц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Учитывая, что во всех постановлениях, касающихся исчезновений, Суд также пришел к выводу о нарушении статьи 3 Конвенции в связи со страданиями заявителей в результате исчезновения их родственников и отсутствием у них возможности узнать, что с ними случилось;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Отмечая меры, направленные на усовершенствование нормативно-правового регулирования розыска исчезнувших лиц в целом</w:t>
      </w:r>
      <w:hyperlink r:id="rId8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4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 и на повышение эффективности розыска таких лиц в Чеченской Республике, в частности, путем использования ДНК-тестов родственников исчезнувших лиц;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Однако с особой обеспокоенностью отмечая, что пока в этом отношении не достигнуто значительного прогресса, и новые жалобы, касающиеся исчезновений, продолжают поступать в Суд;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Полагая, что многочисленные исчезновения, имевшие место в Чеченской Республике, представляют собой особенную ситуацию, которая требует применения дополнительных методов и средств;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Подчеркивая в этом отношении необходимость усилить меры по розыску исчезнувших лиц, в частности, путем налаживания координации между различными компетентными органами, сбора, централизации и обмена всей информацией и данными, касающимися исчезновений, между различными компетентными органами, укрепления местных судебно-экспертных учреждений, усиления взаимодействия с родственниками исчезнувших лиц, установления возможных мест захоронения и других практических мер;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Подчеркивая, что необходимость принятия указанных мер особенно актуальна в делах, в которых неустановление местонахождения и судьбы исчезнувшего лица приводит к длящемуся нарушению Конвенции;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3. Участие потерпевших в расследованиях на национальном уровне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Отмечая постоянные усилия Следственного комитета по улучшению нормативно-правового регулирования участия потерпевших в расследованиях на национальном уровне с учетом опыта других стран;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Также отмечая с удовлетворением, что принятие указанных мер уже привело к развитию практики регулярных встреч с семьями потерпевших, подготовки отчетов для семей о прогрессе, достигнутом в расследовании, а также предоставления более широкого доступа к материалам уголовных дел;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Подчеркивая необходимость дальнейших усилий по обеспечению тесного взаимодействия с семьями потерпевших и дальнейшего улучшения нормативно-правового регулирования участия потерпевших в расследованиях на национальном уровне;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4. Средства правовой защиты, доступные потерпевшим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4"/>
          <w:vertAlign w:val="baseline"/>
          <w:rtl w:val="0"/>
        </w:rPr>
        <w:t xml:space="preserve">a. Возможность обжалования действий или бездействия следователей в национальных судах в порядке статьи 125 Уголовно-процессуального кодекса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 особым интересом отмечая недавно принятые меры, направленные на обеспечение того, чтобы это средство правовой защиты использовалось в соответствии с требованиями Конвенции, и отмечая примеры из практики национальных судов, подтверждающие положительное развитие в применении этого средства правовой защиты, а также статистику, свидетельствующую о более частом использовании этого средства защиты, в частности, потерпевшими;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Напоминая, что потенциальная эффективность этого средства правовой защиты еще не была полностью продемонстрирована и, соответственно, еще не была признана Судом;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Подчеркивая в этом отношении, что успешного использования этого средства правовой защиты потерпевшим еще не достаточно для того, чтобы утверждать о его эффективности; такая эффективность сильно зависит от того, принимают ли следственные органы эффективные и своевременные меры для устранения недостатков, обнаруженных в судебном решении;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Подчеркивая в связи с этим потенциальную роль прокуроров в обеспечении исправления следователями недостатков, указанных в решениях суда, и отмечая с удовлетворением меры, которые недавно были приняты в этом направлении</w:t>
      </w:r>
      <w:hyperlink r:id="rId9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5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4"/>
          <w:vertAlign w:val="baseline"/>
          <w:rtl w:val="0"/>
        </w:rPr>
        <w:t xml:space="preserve">b. Средства правовой защиты, позволяющие получить компенсацию и ускорить расследование в случаях чрезмерной длительности расследования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Отмечая информацию, предоставленную российскими властями, о том, что два федеральных закона, предусматривающие право на компенсацию за нарушение права на судебное разбирательство и исполнение решения в разумных срок, принятые в связи с вынесением Судом пилотного постановления по делу Бурдов (№ 2), также применимы к стадии расследования по уголовным делам;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Отмечая также, что кроме компенсации, указанные законы предусматривают возможность обжаловать чрезмерно длительные задержки в ходе следствия главе органа расследования или прокурору, которые по обоснованным жалобам обязаны дать указания о принятии процессуальных мер и установить сроки для их исполнения;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Полагая, что необходимо наблюдать за тем, как на практике будет работать данное средство правовой защиты в применении к расследованиям на национальном уровне;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 УДОВЛЕТВОРЕНИЕМ ОТМЕЧАЕТ постоянное улучшение институциональной и нормативно-правовой базы расследований на национальном уровне с целью приведения их в соответствие с требованиями Конвенции, а также усилия российских властей, направленные на устранение недостатков первоначальных расследований и обеспечение их эффективности.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ОДНАКО ВЫРАЖАЕТ СЕРЬЕЗНУЮ ОБЕСПОКОЕННОСТЬ в связи с тем, что, несмотря на принятые меры, не достигнуто значительного прогресса в расследованиях на национальном уровне, проводимых в отношении серьезных нарушений прав человека, установленных в подавляющем большинстве дел.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ПРИЗЫВАЕТ российские власти предпринимать больше усилий для  проведения независимых и тщательных расследований всех нарушений, установленных в постановлениях Суда, в частности, обеспечить, чтобы следственные органы в полной мере использовали все доступные им полномочия и средства, и гарантировать эффективное и безусловное взаимодействие между всеми правоохранительными и военными органами в ходе таких расследований.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НАСТОЯТЕЛЬНО ПРИЗЫВАЕТ российские власти незамедлительно предпринять все необходимые меры для усиления розыска исчезнувших лиц.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ПРИЗЫВАЕТ российские власти продолжать предпринимать усилия для обеспечения участия потерпевших в расследованиях и повышать эффективность доступных им в соответствии с национальным законодательством средств правовой защиты.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ПРИЗЫВАЕТ российские власти предпринять все необходимые меры для того, чтобы сроки давности не оказывали негативного влияния на исполнение постановлений Суда.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720" w:firstLine="0"/>
        <w:contextualSpacing w:val="0"/>
      </w:pPr>
      <w:bookmarkStart w:id="1" w:colFirst="0" w:name="h.30j0zll" w:colLast="0"/>
      <w:bookmarkEnd w:id="1"/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ПРЕДЛАГАЕТ властям сообщать Комитету Министров о ходе расследований на национальном уровне, в частности, по отдельным делам, определенным Комитетом</w:t>
      </w:r>
      <w:hyperlink r:id="rId10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6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, а также о прогрессе в имплементации мер общего характера, требуемых этими постановлениями.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bookmarkStart w:id="2" w:colFirst="0" w:name="h.1fob9te" w:colLast="0"/>
      <w:bookmarkEnd w:id="2"/>
      <w:hyperlink r:id="rId11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1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superscript"/>
          <w:rtl w:val="0"/>
        </w:rPr>
        <w:t xml:space="preserve"> </w:t>
      </w:r>
      <w:hyperlink r:id="rId12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baseline"/>
            <w:rtl w:val="0"/>
          </w:rPr>
          <w:t xml:space="preserve">CM/Inf/DH(2008)33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, </w:t>
      </w:r>
      <w:hyperlink r:id="rId13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baseline"/>
            <w:rtl w:val="0"/>
          </w:rPr>
          <w:t xml:space="preserve">CM/Inf/DH(2008)33 addendum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, </w:t>
      </w:r>
      <w:hyperlink r:id="rId14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baseline"/>
            <w:rtl w:val="0"/>
          </w:rPr>
          <w:t xml:space="preserve">CM/Inf/DH(2010)26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bookmarkStart w:id="3" w:colFirst="0" w:name="h.3znysh7" w:colLast="0"/>
      <w:bookmarkEnd w:id="3"/>
      <w:hyperlink r:id="rId15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2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superscript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DH-DD(2011)130.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bookmarkStart w:id="4" w:colFirst="0" w:name="h.2et92p0" w:colLast="0"/>
      <w:bookmarkEnd w:id="4"/>
      <w:hyperlink r:id="rId16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3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superscript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См., например, постановления Исаева, Абуева, Мусаев и другие, Базоркина, Хадисов и Цечоев.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bookmarkStart w:id="5" w:colFirst="0" w:name="h.tyjcwt" w:colLast="0"/>
      <w:bookmarkEnd w:id="5"/>
      <w:hyperlink r:id="rId17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4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superscript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Одной из последних является Совместный Приказ Генеральной прокуратуры и Министерства внутренних дел от 27 февраля 2010 года № 70/122 "Об утверждении Инструкции о порядке рассмотрения заявлений, сообщений о преступлениях и иной информации о происшествиях, связанных с безвестным исчезновением граждан".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bookmarkStart w:id="6" w:colFirst="0" w:name="h.3dy6vkm" w:colLast="0"/>
      <w:bookmarkEnd w:id="6"/>
      <w:hyperlink r:id="rId18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5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superscript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 момента последнего рассмотрения этих дел Генеральная прокуратура Российской Федерации приняла 2 июня 2011 года Приказ № 162 "Об организации прокурорского надзора за процессуальной деятельностью органов предварительного следствия".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/>
        <w:contextualSpacing w:val="0"/>
      </w:pPr>
      <w:hyperlink r:id="rId19">
        <w:r w:rsidRPr="00000000" w:rsidR="00000000" w:rsidDel="00000000">
          <w:rPr>
            <w:rFonts w:cs="Times New Roman" w:hAnsi="Times New Roman" w:eastAsia="Times New Roman" w:ascii="Times New Roman"/>
            <w:b w:val="0"/>
            <w:color w:val="0000ff"/>
            <w:sz w:val="24"/>
            <w:u w:val="single"/>
            <w:vertAlign w:val="superscript"/>
            <w:rtl w:val="0"/>
          </w:rPr>
          <w:t xml:space="preserve">6</w:t>
        </w:r>
      </w:hyperlink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superscript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См. решение Комитета Министров, принятое на 1120ой сессии по правам человека (сентябрь 2011).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https://wcd.coe.int/ViewDoc.jsp?Ref=CM/ResDH%282011%29292&amp;Language=lanEnglish&amp;Ver=original&amp;Site=DG4&amp;BackColorInternet=B9BDEE&amp;BackColorIntranet=FFCD4F&amp;BackColorLogged=FFC679#P119_12880" Type="http://schemas.openxmlformats.org/officeDocument/2006/relationships/hyperlink" TargetMode="External" Id="rId19"/><Relationship Target="https://wcd.coe.int/ViewDoc.jsp?Ref=CM/ResDH%282011%29292&amp;Language=lanEnglish&amp;Ver=original&amp;Site=DG4&amp;BackColorInternet=B9BDEE&amp;BackColorIntranet=FFCD4F&amp;BackColorLogged=FFC679#P94_9982" Type="http://schemas.openxmlformats.org/officeDocument/2006/relationships/hyperlink" TargetMode="External" Id="rId18"/><Relationship Target="https://wcd.coe.int/ViewDoc.jsp?Ref=CM/ResDH%282011%29292&amp;Language=lanEnglish&amp;Ver=original&amp;Site=DG4&amp;BackColorInternet=B9BDEE&amp;BackColorIntranet=FFCD4F&amp;BackColorLogged=FFC679#P64_6436" Type="http://schemas.openxmlformats.org/officeDocument/2006/relationships/hyperlink" TargetMode="External" Id="rId17"/><Relationship Target="https://wcd.coe.int/ViewDoc.jsp?Ref=CM/ResDH%282011%29292&amp;Language=lanEnglish&amp;Ver=original&amp;Site=DG4&amp;BackColorInternet=B9BDEE&amp;BackColorIntranet=FFCD4F&amp;BackColorLogged=FFC679#P52_5167" Type="http://schemas.openxmlformats.org/officeDocument/2006/relationships/hyperlink" TargetMode="External" Id="rId16"/><Relationship Target="https://wcd.coe.int/ViewDoc.jsp?Ref=CM/ResDH%282011%29292&amp;Language=lanEnglish&amp;Ver=original&amp;Site=DG4&amp;BackColorInternet=B9BDEE&amp;BackColorIntranet=FFCD4F&amp;BackColorLogged=FFC679#P34_2800" Type="http://schemas.openxmlformats.org/officeDocument/2006/relationships/hyperlink" TargetMode="External" Id="rId15"/><Relationship Target="https://wcd.coe.int/ViewDoc.jsp?Ref=CM/Inf/DH%282010%2926&amp;Language=lanEnglish&amp;Site=DG4&amp;BackColorInternet=B9BDEE&amp;BackColorIntranet=FFCD4F&amp;BackColorLogged=FFC679" Type="http://schemas.openxmlformats.org/officeDocument/2006/relationships/hyperlink" TargetMode="External" Id="rId14"/><Relationship Target="fontTable.xml" Type="http://schemas.openxmlformats.org/officeDocument/2006/relationships/fontTable" Id="rId2"/><Relationship Target="https://wcd.coe.int/ViewDoc.jsp?Ref=CM/Inf/DH%282008%2933&amp;Language=lanEnglish&amp;Site=DG4&amp;BackColorInternet=B9BDEE&amp;BackColorIntranet=FFCD4F&amp;BackColorLogged=FFC679" Type="http://schemas.openxmlformats.org/officeDocument/2006/relationships/hyperlink" TargetMode="External" Id="rId12"/><Relationship Target="https://wcd.coe.int/ViewDoc.jsp?Ref=CM/Inf/DH%282008%2933&amp;Ver=addendum&amp;Language=lanEnglish&amp;Site=DG4&amp;BackColorInternet=B9BDEE&amp;BackColorIntranet=FFCD4F&amp;BackColorLogged=FFC679" Type="http://schemas.openxmlformats.org/officeDocument/2006/relationships/hyperlink" TargetMode="External" Id="rId13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https://wcd.coe.int/ViewDoc.jsp?Ref=CM/ResDH%282011%29292&amp;Language=lanEnglish&amp;Ver=original&amp;Site=DG4&amp;BackColorInternet=B9BDEE&amp;BackColorIntranet=FFCD4F&amp;BackColorLogged=FFC679#P119_12879" Type="http://schemas.openxmlformats.org/officeDocument/2006/relationships/hyperlink" TargetMode="External" Id="rId10"/><Relationship Target="numbering.xml" Type="http://schemas.openxmlformats.org/officeDocument/2006/relationships/numbering" Id="rId3"/><Relationship Target="https://wcd.coe.int/ViewDoc.jsp?Ref=CM/ResDH%282011%29292&amp;Language=lanEnglish&amp;Ver=original&amp;Site=DG4&amp;BackColorInternet=B9BDEE&amp;BackColorIntranet=FFCD4F&amp;BackColorLogged=FFC679#P33_2654" Type="http://schemas.openxmlformats.org/officeDocument/2006/relationships/hyperlink" TargetMode="External" Id="rId11"/><Relationship Target="https://wcd.coe.int/ViewDoc.jsp?Ref=CM/ResDH%282011%29292&amp;Language=lanEnglish&amp;Ver=original&amp;Site=DG4&amp;BackColorInternet=B9BDEE&amp;BackColorIntranet=FFCD4F&amp;BackColorLogged=FFC679#P94_9981" Type="http://schemas.openxmlformats.org/officeDocument/2006/relationships/hyperlink" TargetMode="External" Id="rId9"/><Relationship Target="https://wcd.coe.int/ViewDoc.jsp?Ref=CM/ResDH%282011%29292&amp;Language=lanEnglish&amp;Ver=original&amp;Site=DG4&amp;BackColorInternet=B9BDEE&amp;BackColorIntranet=FFCD4F&amp;BackColorLogged=FFC679#P34_2799" Type="http://schemas.openxmlformats.org/officeDocument/2006/relationships/hyperlink" TargetMode="External" Id="rId6"/><Relationship Target="https://wcd.coe.int/ViewDoc.jsp?Ref=CM/ResDH%282011%29292&amp;Language=lanEnglish&amp;Ver=original&amp;Site=DG4&amp;BackColorInternet=B9BDEE&amp;BackColorIntranet=FFCD4F&amp;BackColorLogged=FFC679#P33_2653" Type="http://schemas.openxmlformats.org/officeDocument/2006/relationships/hyperlink" TargetMode="External" Id="rId5"/><Relationship Target="https://wcd.coe.int/ViewDoc.jsp?Ref=CM/ResDH%282011%29292&amp;Language=lanEnglish&amp;Ver=original&amp;Site=DG4&amp;BackColorInternet=B9BDEE&amp;BackColorIntranet=FFCD4F&amp;BackColorLogged=FFC679#P64_6435" Type="http://schemas.openxmlformats.org/officeDocument/2006/relationships/hyperlink" TargetMode="External" Id="rId8"/><Relationship Target="https://wcd.coe.int/ViewDoc.jsp?Ref=CM/ResDH%282011%29292&amp;Language=lanEnglish&amp;Ver=original&amp;Site=DG4&amp;BackColorInternet=B9BDEE&amp;BackColorIntranet=FFCD4F&amp;BackColorLogged=FFC679#P52_5166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2011_12_02_Interim Resolution CM rus.docx</dc:title>
</cp:coreProperties>
</file>